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FirstParagraph"/>
        <w:spacing w:before="180" w:after="1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Eduard Lukschandl mit Hilfe von ChatGPT          </w:t>
      </w:r>
      <w:r>
        <w:rPr>
          <w:b/>
          <w:bCs/>
          <w:sz w:val="28"/>
          <w:szCs w:val="28"/>
        </w:rPr>
        <w:t>Att. 3</w:t>
      </w:r>
    </w:p>
    <w:p>
      <w:pPr>
        <w:pStyle w:val="Textkrp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extkrper"/>
        <w:rPr>
          <w:b/>
          <w:b/>
          <w:bCs/>
        </w:rPr>
      </w:pPr>
      <w:r>
        <w:rPr>
          <w:b/>
          <w:bCs/>
        </w:rPr>
        <w:t xml:space="preserve">Hier eine </w:t>
      </w:r>
      <w:r>
        <w:rPr>
          <w:rStyle w:val="Strong"/>
        </w:rPr>
        <w:t>präzise Kurzdefinition von cb (Zirkulargeld)</w:t>
      </w:r>
      <w:r>
        <w:rPr>
          <w:b/>
          <w:bCs/>
        </w:rPr>
        <w:t>, die du als Ausgangspunkt nutzen kannst:</w:t>
      </w:r>
    </w:p>
    <w:p>
      <w:pPr>
        <w:pStyle w:val="HorizontaleLinie"/>
        <w:spacing w:before="180" w:after="180"/>
        <w:rPr>
          <w:b/>
          <w:b/>
          <w:bCs/>
        </w:rPr>
      </w:pPr>
      <w:r>
        <w:rPr>
          <w:b/>
          <w:bCs/>
        </w:rPr>
      </w:r>
    </w:p>
    <w:p>
      <w:pPr>
        <w:pStyle w:val="Berschrift3"/>
        <w:spacing w:before="180" w:after="180"/>
        <w:rPr>
          <w:b/>
          <w:b/>
          <w:bCs/>
        </w:rPr>
      </w:pPr>
      <w:r>
        <w:rPr>
          <w:b/>
          <w:bCs/>
        </w:rPr>
        <w:t>Definition</w:t>
      </w:r>
    </w:p>
    <w:p>
      <w:pPr>
        <w:pStyle w:val="Textkrper"/>
        <w:rPr>
          <w:b/>
          <w:b/>
          <w:bCs/>
        </w:rPr>
      </w:pPr>
      <w:r>
        <w:rPr>
          <w:rStyle w:val="Strong"/>
        </w:rPr>
        <w:t>cb (Zirkulargeld)</w:t>
      </w:r>
      <w:r>
        <w:rPr>
          <w:b/>
          <w:bCs/>
        </w:rPr>
        <w:t xml:space="preserve"> ist eine von der Zentralbank emittierte Parallelwährung, die ausschließlich als </w:t>
      </w:r>
      <w:r>
        <w:rPr>
          <w:rStyle w:val="Strong"/>
        </w:rPr>
        <w:t>Umlauf- und Verrechnungsmittel</w:t>
      </w:r>
      <w:r>
        <w:rPr>
          <w:b/>
          <w:bCs/>
        </w:rPr>
        <w:t xml:space="preserve"> dient.</w:t>
      </w:r>
    </w:p>
    <w:p>
      <w:pPr>
        <w:pStyle w:val="Textkrper"/>
        <w:numPr>
          <w:ilvl w:val="0"/>
          <w:numId w:val="1"/>
        </w:numPr>
        <w:tabs>
          <w:tab w:val="clear" w:pos="720"/>
          <w:tab w:val="left" w:pos="0" w:leader="none"/>
        </w:tabs>
        <w:ind w:left="709" w:hanging="283"/>
        <w:rPr>
          <w:b/>
          <w:b/>
          <w:bCs/>
        </w:rPr>
      </w:pPr>
      <w:r>
        <w:rPr>
          <w:rStyle w:val="Strong"/>
        </w:rPr>
        <w:t>Nicht hortbar:</w:t>
      </w:r>
      <w:r>
        <w:rPr>
          <w:b/>
          <w:bCs/>
        </w:rPr>
        <w:t xml:space="preserve"> Guthaben auf cb-Konten unterliegen einer </w:t>
      </w:r>
      <w:r>
        <w:rPr>
          <w:rStyle w:val="Strong"/>
        </w:rPr>
        <w:t>täglichen Abschöpfung (Verdunstung)</w:t>
      </w:r>
      <w:r>
        <w:rPr>
          <w:b/>
          <w:bCs/>
        </w:rPr>
        <w:t xml:space="preserve"> in Höhe von 4 ‰, die automatisch an die Zentralbank zurückfließt.</w:t>
      </w:r>
    </w:p>
    <w:p>
      <w:pPr>
        <w:pStyle w:val="Textkrper"/>
        <w:numPr>
          <w:ilvl w:val="0"/>
          <w:numId w:val="1"/>
        </w:numPr>
        <w:tabs>
          <w:tab w:val="clear" w:pos="720"/>
          <w:tab w:val="left" w:pos="0" w:leader="none"/>
        </w:tabs>
        <w:ind w:left="709" w:hanging="283"/>
        <w:rPr>
          <w:b/>
          <w:b/>
          <w:bCs/>
        </w:rPr>
      </w:pPr>
      <w:r>
        <w:rPr>
          <w:rStyle w:val="Strong"/>
        </w:rPr>
        <w:t>Automatisch zirkulierend:</w:t>
      </w:r>
      <w:r>
        <w:rPr>
          <w:b/>
          <w:bCs/>
        </w:rPr>
        <w:t xml:space="preserve"> cb kann nur durch Zahlungen weitergegeben werden; ein Aufbewahren als Wertanlage ist unmöglich.</w:t>
      </w:r>
    </w:p>
    <w:p>
      <w:pPr>
        <w:pStyle w:val="Textkrper"/>
        <w:numPr>
          <w:ilvl w:val="0"/>
          <w:numId w:val="1"/>
        </w:numPr>
        <w:tabs>
          <w:tab w:val="clear" w:pos="720"/>
          <w:tab w:val="left" w:pos="0" w:leader="none"/>
        </w:tabs>
        <w:ind w:left="709" w:hanging="283"/>
        <w:rPr>
          <w:b/>
          <w:b/>
          <w:bCs/>
        </w:rPr>
      </w:pPr>
      <w:r>
        <w:rPr>
          <w:rStyle w:val="Strong"/>
        </w:rPr>
        <w:t>Universell zugeteilt:</w:t>
      </w:r>
      <w:r>
        <w:rPr>
          <w:b/>
          <w:bCs/>
        </w:rPr>
        <w:t xml:space="preserve"> Jeder Einwohner erhält regelmäßig (z. B. monatlich) einen fixen Betrag in cb; Erwachsene den vollen Satz, Kinder einen Anteil.</w:t>
      </w:r>
    </w:p>
    <w:p>
      <w:pPr>
        <w:pStyle w:val="Textkrper"/>
        <w:numPr>
          <w:ilvl w:val="0"/>
          <w:numId w:val="1"/>
        </w:numPr>
        <w:tabs>
          <w:tab w:val="clear" w:pos="720"/>
          <w:tab w:val="left" w:pos="0" w:leader="none"/>
        </w:tabs>
        <w:ind w:left="709" w:hanging="283"/>
        <w:rPr>
          <w:b/>
          <w:b/>
          <w:bCs/>
        </w:rPr>
      </w:pPr>
      <w:r>
        <w:rPr>
          <w:rStyle w:val="Strong"/>
        </w:rPr>
        <w:t>Duales System:</w:t>
      </w:r>
      <w:r>
        <w:rPr>
          <w:b/>
          <w:bCs/>
        </w:rPr>
        <w:t xml:space="preserve"> Jede Zahlung wird parallel in pb (Giralgeld) und cb abgewickelt; beide gelten als gesetzliche Zahlungsmittel und sind gleichwertig verrechenbar.</w:t>
      </w:r>
    </w:p>
    <w:p>
      <w:pPr>
        <w:pStyle w:val="Textkrper"/>
        <w:numPr>
          <w:ilvl w:val="0"/>
          <w:numId w:val="1"/>
        </w:numPr>
        <w:tabs>
          <w:tab w:val="clear" w:pos="720"/>
          <w:tab w:val="left" w:pos="0" w:leader="none"/>
        </w:tabs>
        <w:ind w:left="709" w:hanging="283"/>
        <w:rPr>
          <w:b/>
          <w:b/>
          <w:bCs/>
        </w:rPr>
      </w:pPr>
      <w:r>
        <w:rPr>
          <w:rStyle w:val="Strong"/>
        </w:rPr>
        <w:t>Stabilitätsmechanismus:</w:t>
      </w:r>
      <w:r>
        <w:rPr>
          <w:b/>
          <w:bCs/>
        </w:rPr>
        <w:t xml:space="preserve"> Die Verdunstung verhindert eine dauerhafte Ausweitung der Geldmenge und garantiert die Rückführung des zirkulierenden cb in den Zentralbankkreislauf.</w:t>
      </w:r>
    </w:p>
    <w:p>
      <w:pPr>
        <w:pStyle w:val="HorizontaleLinie"/>
        <w:spacing w:before="180" w:after="180"/>
        <w:rPr>
          <w:b/>
          <w:b/>
          <w:bCs/>
        </w:rPr>
      </w:pPr>
      <w:r>
        <w:rPr>
          <w:b/>
          <w:bCs/>
        </w:rPr>
      </w:r>
    </w:p>
    <w:p>
      <w:pPr>
        <w:pStyle w:val="Textkrper"/>
        <w:rPr>
          <w:b/>
          <w:b/>
          <w:bCs/>
        </w:rPr>
      </w:pPr>
      <w:r>
        <w:rPr>
          <w:b/>
          <w:bCs/>
        </w:rPr>
      </w:r>
    </w:p>
    <w:p>
      <w:pPr>
        <w:pStyle w:val="Textkrper"/>
        <w:rPr>
          <w:b/>
          <w:b/>
          <w:bCs/>
        </w:rPr>
      </w:pPr>
      <w:r>
        <w:rPr>
          <w:b/>
          <w:bCs/>
        </w:rPr>
      </w:r>
    </w:p>
    <w:p>
      <w:pPr>
        <w:pStyle w:val="Textkrper"/>
        <w:rPr/>
      </w:pPr>
      <w:r>
        <w:rPr/>
      </w:r>
    </w:p>
    <w:p>
      <w:pPr>
        <w:pStyle w:val="HorizontaleLinie"/>
        <w:spacing w:before="180" w:after="180"/>
        <w:rPr/>
      </w:pPr>
      <w:r>
        <w:rPr/>
      </w:r>
    </w:p>
    <w:p>
      <w:pPr>
        <w:pStyle w:val="Berschrift1"/>
        <w:spacing w:before="180" w:after="180"/>
        <w:rPr/>
      </w:pPr>
      <w:r>
        <w:rPr/>
        <w:t>PLUVIA: Digitales Euro-System – Zusammenfassung</w:t>
      </w:r>
    </w:p>
    <w:p>
      <w:pPr>
        <w:pStyle w:val="Textkrper"/>
        <w:rPr/>
      </w:pPr>
      <w:r>
        <w:rPr/>
        <w:t xml:space="preserve">✨ </w:t>
      </w:r>
      <w:r>
        <w:rPr>
          <w:rStyle w:val="Strong"/>
        </w:rPr>
        <w:t>Systemübersicht</w:t>
      </w:r>
      <w:r>
        <w:rPr/>
        <w:br/>
        <w:t>PLUVIA ist eine Simulation des digitalen Euro einer Zentralbank (CB), die Zentralbankgeld in das bestehende Zahlungssystem der Eurozone einführt. Das System arbeitet in Phasen: Es beginnt mit traditionellen PB-Konten (Privatbankkonten) und entwickelt sich zu Zwillingskonten, die sowohl PB- als auch CB-Guthaben enthalten.</w:t>
      </w:r>
    </w:p>
    <w:p>
      <w:pPr>
        <w:pStyle w:val="Textkrper"/>
        <w:rPr/>
      </w:pPr>
      <w:r>
        <w:rPr/>
        <w:t xml:space="preserve">🌐 </w:t>
      </w:r>
      <w:r>
        <w:rPr>
          <w:rStyle w:val="Strong"/>
        </w:rPr>
        <w:t>Lebenszyklus-Phasen</w:t>
      </w:r>
      <w:r>
        <w:rPr/>
        <w:br/>
      </w:r>
      <w:r>
        <w:rPr>
          <w:rStyle w:val="Strong"/>
        </w:rPr>
        <w:t>Phase 1: Vor-PLUVIA (Legacy)</w:t>
      </w:r>
    </w:p>
    <w:p>
      <w:pPr>
        <w:pStyle w:val="Textkrper"/>
        <w:numPr>
          <w:ilvl w:val="0"/>
          <w:numId w:val="2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Nur PB-Konten existieren</w:t>
      </w:r>
    </w:p>
    <w:p>
      <w:pPr>
        <w:pStyle w:val="Textkrper"/>
        <w:numPr>
          <w:ilvl w:val="0"/>
          <w:numId w:val="2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Typen: GIRO (tägliche Nutzung) und SPAR (nicht CB-berechtigt)</w:t>
      </w:r>
    </w:p>
    <w:p>
      <w:pPr>
        <w:pStyle w:val="Textkrper"/>
        <w:numPr>
          <w:ilvl w:val="0"/>
          <w:numId w:val="2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Alle Zahlungen erfolgen PB → PB</w:t>
      </w:r>
    </w:p>
    <w:p>
      <w:pPr>
        <w:pStyle w:val="Textkrper"/>
        <w:rPr/>
      </w:pPr>
      <w:r>
        <w:rPr>
          <w:rStyle w:val="Strong"/>
        </w:rPr>
        <w:t>Phase 2: PLUVIA-Aktivierung</w:t>
      </w:r>
    </w:p>
    <w:p>
      <w:pPr>
        <w:pStyle w:val="Textkrper"/>
        <w:numPr>
          <w:ilvl w:val="0"/>
          <w:numId w:val="3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Banken identifizieren PB-GIRO-Konten</w:t>
      </w:r>
    </w:p>
    <w:p>
      <w:pPr>
        <w:pStyle w:val="Textkrper"/>
        <w:numPr>
          <w:ilvl w:val="0"/>
          <w:numId w:val="3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Jedes wird durch Hinzufügen eines CB-Kontos zu einem Zwillingskonto (Startsaldo €0)</w:t>
      </w:r>
    </w:p>
    <w:p>
      <w:pPr>
        <w:pStyle w:val="Textkrper"/>
        <w:numPr>
          <w:ilvl w:val="0"/>
          <w:numId w:val="3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SPAR-Konten bleiben unverändert</w:t>
      </w:r>
    </w:p>
    <w:p>
      <w:pPr>
        <w:pStyle w:val="Textkrper"/>
        <w:rPr/>
      </w:pPr>
      <w:r>
        <w:rPr/>
        <w:t xml:space="preserve">📂 </w:t>
      </w:r>
      <w:r>
        <w:rPr>
          <w:rStyle w:val="Strong"/>
        </w:rPr>
        <w:t>Kontoklassen</w:t>
      </w:r>
    </w:p>
    <w:p>
      <w:pPr>
        <w:pStyle w:val="Textkrper"/>
        <w:numPr>
          <w:ilvl w:val="0"/>
          <w:numId w:val="4"/>
        </w:numPr>
        <w:tabs>
          <w:tab w:val="clear" w:pos="720"/>
          <w:tab w:val="left" w:pos="0" w:leader="none"/>
        </w:tabs>
        <w:ind w:left="709" w:hanging="283"/>
        <w:rPr/>
      </w:pPr>
      <w:r>
        <w:rPr>
          <w:rStyle w:val="Strong"/>
        </w:rPr>
        <w:t>PBAccount</w:t>
      </w:r>
      <w:r>
        <w:rPr/>
        <w:t xml:space="preserve"> – Speichert Guthaben – Erlaubt Überziehung bis zu einem Kreditlimit (z. B. -500 €)</w:t>
      </w:r>
    </w:p>
    <w:p>
      <w:pPr>
        <w:pStyle w:val="Textkrper"/>
        <w:numPr>
          <w:ilvl w:val="0"/>
          <w:numId w:val="4"/>
        </w:numPr>
        <w:tabs>
          <w:tab w:val="clear" w:pos="720"/>
          <w:tab w:val="left" w:pos="0" w:leader="none"/>
        </w:tabs>
        <w:ind w:left="709" w:hanging="283"/>
        <w:rPr/>
      </w:pPr>
      <w:r>
        <w:rPr>
          <w:rStyle w:val="Strong"/>
        </w:rPr>
        <w:t>CBAccount</w:t>
      </w:r>
      <w:r>
        <w:rPr/>
        <w:t xml:space="preserve"> – Keine Überziehung erlaubt – Guthaben muss ≥ 0 sein</w:t>
      </w:r>
    </w:p>
    <w:p>
      <w:pPr>
        <w:pStyle w:val="Textkrper"/>
        <w:numPr>
          <w:ilvl w:val="0"/>
          <w:numId w:val="4"/>
        </w:numPr>
        <w:tabs>
          <w:tab w:val="clear" w:pos="720"/>
          <w:tab w:val="left" w:pos="0" w:leader="none"/>
        </w:tabs>
        <w:ind w:left="709" w:hanging="283"/>
        <w:rPr/>
      </w:pPr>
      <w:r>
        <w:rPr>
          <w:rStyle w:val="Strong"/>
        </w:rPr>
        <w:t>TwinAccount</w:t>
      </w:r>
      <w:r>
        <w:rPr/>
        <w:t xml:space="preserve"> – Muss enthalten:</w:t>
      </w:r>
    </w:p>
    <w:p>
      <w:pPr>
        <w:pStyle w:val="Textkrper"/>
        <w:numPr>
          <w:ilvl w:val="1"/>
          <w:numId w:val="4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PBAccount</w:t>
      </w:r>
    </w:p>
    <w:p>
      <w:pPr>
        <w:pStyle w:val="Textkrper"/>
        <w:numPr>
          <w:ilvl w:val="1"/>
          <w:numId w:val="4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CBAccount</w:t>
      </w:r>
    </w:p>
    <w:p>
      <w:pPr>
        <w:pStyle w:val="Textkrper"/>
        <w:numPr>
          <w:ilvl w:val="1"/>
          <w:numId w:val="4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IBAN (gemeinsam für beide Konten)</w:t>
      </w:r>
    </w:p>
    <w:p>
      <w:pPr>
        <w:pStyle w:val="Textkrper"/>
        <w:numPr>
          <w:ilvl w:val="1"/>
          <w:numId w:val="4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AccountHolderType: HUMAN oder BUSINESS</w:t>
      </w:r>
    </w:p>
    <w:p>
      <w:pPr>
        <w:pStyle w:val="Textkrper"/>
        <w:numPr>
          <w:ilvl w:val="0"/>
          <w:numId w:val="4"/>
        </w:numPr>
        <w:tabs>
          <w:tab w:val="clear" w:pos="720"/>
          <w:tab w:val="left" w:pos="0" w:leader="none"/>
        </w:tabs>
        <w:ind w:left="709" w:hanging="283"/>
        <w:rPr/>
      </w:pPr>
      <w:r>
        <w:rPr>
          <w:rStyle w:val="Strong"/>
        </w:rPr>
        <w:t>PBAccountHolder (Vor-PLUVIA)</w:t>
      </w:r>
      <w:r>
        <w:rPr/>
        <w:t xml:space="preserve"> – Besitzt nur PB-Konto – Klassifiziert als GIRO oder SPAR – Kann bei GIRO zu TwinAccount aufgewertet werden</w:t>
      </w:r>
    </w:p>
    <w:p>
      <w:pPr>
        <w:pStyle w:val="Textkrper"/>
        <w:numPr>
          <w:ilvl w:val="0"/>
          <w:numId w:val="4"/>
        </w:numPr>
        <w:tabs>
          <w:tab w:val="clear" w:pos="720"/>
          <w:tab w:val="left" w:pos="0" w:leader="none"/>
        </w:tabs>
        <w:ind w:left="709" w:hanging="283"/>
        <w:rPr/>
      </w:pPr>
      <w:r>
        <w:rPr>
          <w:rStyle w:val="Strong"/>
        </w:rPr>
        <w:t>AccountHolderType</w:t>
      </w:r>
      <w:r>
        <w:rPr/>
        <w:t xml:space="preserve"> – HUMAN – BUSINESS</w:t>
      </w:r>
    </w:p>
    <w:p>
      <w:pPr>
        <w:pStyle w:val="Textkrper"/>
        <w:rPr/>
      </w:pPr>
      <w:r>
        <w:rPr/>
        <w:t xml:space="preserve">✉️ </w:t>
      </w:r>
      <w:r>
        <w:rPr>
          <w:rStyle w:val="Strong"/>
        </w:rPr>
        <w:t>Zahlungsregeln</w:t>
      </w:r>
      <w:r>
        <w:rPr/>
        <w:br/>
      </w:r>
      <w:r>
        <w:rPr>
          <w:rStyle w:val="Strong"/>
        </w:rPr>
        <w:t>Eingaben:</w:t>
      </w:r>
      <w:r>
        <w:rPr/>
        <w:t xml:space="preserve"> (SenderIBAN, EmpfängerIBAN, Betrag)</w:t>
      </w:r>
    </w:p>
    <w:p>
      <w:pPr>
        <w:pStyle w:val="Textkrper"/>
        <w:numPr>
          <w:ilvl w:val="0"/>
          <w:numId w:val="5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Wenn eines der Konten kein CB-Konto hat, erfolgt die Zahlung vollständig PB → PB.</w:t>
      </w:r>
    </w:p>
    <w:p>
      <w:pPr>
        <w:pStyle w:val="Textkrper"/>
        <w:numPr>
          <w:ilvl w:val="0"/>
          <w:numId w:val="5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Wenn beide Konten Zwillingskonten sind:</w:t>
      </w:r>
    </w:p>
    <w:p>
      <w:pPr>
        <w:pStyle w:val="Textkrper"/>
        <w:numPr>
          <w:ilvl w:val="1"/>
          <w:numId w:val="5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Die Zahlung wird proportional zum CB- und PB-Guthaben des Senders aufgeteilt</w:t>
      </w:r>
    </w:p>
    <w:p>
      <w:pPr>
        <w:pStyle w:val="Textkrper"/>
        <w:numPr>
          <w:ilvl w:val="1"/>
          <w:numId w:val="5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CB → CB und PB → PB-Transfers müssen beide erfolgreich sein oder gar nicht stattfinden</w:t>
      </w:r>
    </w:p>
    <w:p>
      <w:pPr>
        <w:pStyle w:val="Textkrper"/>
        <w:numPr>
          <w:ilvl w:val="1"/>
          <w:numId w:val="5"/>
        </w:numPr>
        <w:tabs>
          <w:tab w:val="clear" w:pos="720"/>
          <w:tab w:val="left" w:pos="0" w:leader="none"/>
        </w:tabs>
        <w:ind w:left="1418" w:hanging="283"/>
        <w:rPr/>
      </w:pPr>
      <w:r>
        <w:rPr/>
        <w:t>CB- und PB-Guthaben werden niemals vermischt oder intern übertragen</w:t>
      </w:r>
    </w:p>
    <w:p>
      <w:pPr>
        <w:pStyle w:val="Textkrper"/>
        <w:rPr/>
      </w:pPr>
      <w:r>
        <w:rPr/>
        <w:t xml:space="preserve">🌦️ </w:t>
      </w:r>
      <w:r>
        <w:rPr>
          <w:rStyle w:val="Strong"/>
        </w:rPr>
        <w:t>Monatliche CB-Ausschüttung („Regen“)</w:t>
      </w:r>
    </w:p>
    <w:p>
      <w:pPr>
        <w:pStyle w:val="Textkrper"/>
        <w:numPr>
          <w:ilvl w:val="0"/>
          <w:numId w:val="6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Jedes HUMAN-GIRO-Zwillingskonto erhält monatlich 300 € CB-Euros</w:t>
      </w:r>
    </w:p>
    <w:p>
      <w:pPr>
        <w:pStyle w:val="Textkrper"/>
        <w:numPr>
          <w:ilvl w:val="0"/>
          <w:numId w:val="6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Quelle: Ein spezielles CB-Ursprungskonto pro Bank (unbegrenztes Guthaben)</w:t>
      </w:r>
    </w:p>
    <w:p>
      <w:pPr>
        <w:pStyle w:val="Textkrper"/>
        <w:numPr>
          <w:ilvl w:val="0"/>
          <w:numId w:val="6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BUSINESS- und SPAR-Konten sind ausgeschlossen</w:t>
      </w:r>
    </w:p>
    <w:p>
      <w:pPr>
        <w:pStyle w:val="Textkrper"/>
        <w:rPr/>
      </w:pPr>
      <w:r>
        <w:rPr/>
        <w:t xml:space="preserve">🌚 </w:t>
      </w:r>
      <w:r>
        <w:rPr>
          <w:rStyle w:val="Strong"/>
        </w:rPr>
        <w:t>Nächtliche CB-Abschöpfung</w:t>
      </w:r>
    </w:p>
    <w:p>
      <w:pPr>
        <w:pStyle w:val="Textkrper"/>
        <w:numPr>
          <w:ilvl w:val="0"/>
          <w:numId w:val="7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Jede Nacht um Mitternacht werden 4 ‰ (0,4 %) jedes CB-Guthabens zurück auf das CB-Ursprungskonto der Bank überwiesen</w:t>
      </w:r>
    </w:p>
    <w:p>
      <w:pPr>
        <w:pStyle w:val="Textkrper"/>
        <w:numPr>
          <w:ilvl w:val="0"/>
          <w:numId w:val="7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Modelliert einen langsamen Verfall bzw. Negativzinsen auf CB-Geld</w:t>
      </w:r>
    </w:p>
    <w:p>
      <w:pPr>
        <w:pStyle w:val="Textkrper"/>
        <w:numPr>
          <w:ilvl w:val="0"/>
          <w:numId w:val="7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Sichert die langfristige Stabilisierung der CB-Geldmenge</w:t>
      </w:r>
    </w:p>
    <w:p>
      <w:pPr>
        <w:pStyle w:val="Textkrper"/>
        <w:rPr/>
      </w:pPr>
      <w:r>
        <w:rPr/>
        <w:t xml:space="preserve">📊 </w:t>
      </w:r>
      <w:r>
        <w:rPr>
          <w:rStyle w:val="Strong"/>
        </w:rPr>
        <w:t>Dynamik der CB-Geldmenge</w:t>
      </w:r>
    </w:p>
    <w:p>
      <w:pPr>
        <w:pStyle w:val="Textkrper"/>
        <w:numPr>
          <w:ilvl w:val="0"/>
          <w:numId w:val="8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Zahlungen verteilen CB-Euros um, ändern aber nicht die Gesamtmenge</w:t>
      </w:r>
    </w:p>
    <w:p>
      <w:pPr>
        <w:pStyle w:val="Textkrper"/>
        <w:numPr>
          <w:ilvl w:val="0"/>
          <w:numId w:val="8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Nur Ausschüttung (+300 monatlich) und Abschöpfung (-0,4 % täglich) beeinflussen die Geldmenge</w:t>
      </w:r>
    </w:p>
    <w:p>
      <w:pPr>
        <w:pStyle w:val="Textkrper"/>
        <w:numPr>
          <w:ilvl w:val="0"/>
          <w:numId w:val="8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Gleichgewicht: max. CB-Guthaben pro passivem Nutzer ≈ 2.640,47 €</w:t>
      </w:r>
    </w:p>
    <w:p>
      <w:pPr>
        <w:pStyle w:val="Textkrper"/>
        <w:numPr>
          <w:ilvl w:val="0"/>
          <w:numId w:val="8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Systemweites Gleichgewicht: ≈ 2,64 Mrd. € bei 1 Mio. HUMAN-Zwillingskonten</w:t>
      </w:r>
    </w:p>
    <w:p>
      <w:pPr>
        <w:pStyle w:val="Textkrper"/>
        <w:numPr>
          <w:ilvl w:val="0"/>
          <w:numId w:val="8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BUSINESS-Konten können durch positive Netto-CB-Zuflüsse mehr ansammeln</w:t>
      </w:r>
    </w:p>
    <w:p>
      <w:pPr>
        <w:pStyle w:val="Textkrper"/>
        <w:rPr/>
      </w:pPr>
      <w:r>
        <w:rPr/>
        <w:t xml:space="preserve">📅 </w:t>
      </w:r>
      <w:r>
        <w:rPr>
          <w:rStyle w:val="Strong"/>
        </w:rPr>
        <w:t>Beispielhafter Migrationsablauf</w:t>
      </w:r>
    </w:p>
    <w:p>
      <w:pPr>
        <w:pStyle w:val="Textkrper"/>
        <w:numPr>
          <w:ilvl w:val="0"/>
          <w:numId w:val="9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Erstellen von PBAccountHolder-Einträgen für Legacy-Nutzer</w:t>
      </w:r>
    </w:p>
    <w:p>
      <w:pPr>
        <w:pStyle w:val="Textkrper"/>
        <w:numPr>
          <w:ilvl w:val="0"/>
          <w:numId w:val="9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Filtern nach GIRO-Typen</w:t>
      </w:r>
    </w:p>
    <w:p>
      <w:pPr>
        <w:pStyle w:val="Textkrper"/>
        <w:numPr>
          <w:ilvl w:val="0"/>
          <w:numId w:val="9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Aufwertung zu Zwillingskonto durch Hinzufügen eines CB-Kontos</w:t>
      </w:r>
    </w:p>
    <w:p>
      <w:pPr>
        <w:pStyle w:val="Textkrper"/>
        <w:numPr>
          <w:ilvl w:val="0"/>
          <w:numId w:val="9"/>
        </w:numPr>
        <w:tabs>
          <w:tab w:val="clear" w:pos="720"/>
          <w:tab w:val="left" w:pos="0" w:leader="none"/>
        </w:tabs>
        <w:ind w:left="709" w:hanging="283"/>
        <w:rPr/>
      </w:pPr>
      <w:r>
        <w:rPr/>
        <w:t>Anwendung der CB-Ausschüttungs- und Abschöpfungsregeln starten</w:t>
      </w:r>
    </w:p>
    <w:p>
      <w:pPr>
        <w:pStyle w:val="HorizontaleLinie"/>
        <w:spacing w:before="180" w:after="180"/>
        <w:rPr/>
      </w:pPr>
      <w:r>
        <w:rPr/>
      </w:r>
    </w:p>
    <w:p>
      <w:pPr>
        <w:pStyle w:val="Textkrper"/>
        <w:rPr/>
      </w:pPr>
      <w:r>
        <w:rPr/>
        <w:t xml:space="preserve">👉 </w:t>
      </w:r>
      <w:r>
        <w:rPr/>
        <w:t>Diese Zusammenfassung enthält alle aktuellen Geschäftsregeln, Kontostrukturen und geldpolitischen Mechanismen des PLUVIA-Systems. Entwicklung oder Simulation kann von hier fortgesetzt werden.</w:t>
      </w:r>
    </w:p>
    <w:p>
      <w:pPr>
        <w:pStyle w:val="HorizontaleLinie"/>
        <w:spacing w:before="180" w:after="180"/>
        <w:rPr/>
      </w:pPr>
      <w:r>
        <w:rPr/>
      </w:r>
    </w:p>
    <w:p>
      <w:pPr>
        <w:pStyle w:val="Textkrper"/>
        <w:rPr/>
      </w:pPr>
      <w:r>
        <w:rPr/>
      </w:r>
    </w:p>
    <w:p>
      <w:pPr>
        <w:pStyle w:val="Textkrper"/>
        <w:rPr/>
      </w:pPr>
      <w:r>
        <w:rPr>
          <w:b/>
          <w:bCs/>
          <w:sz w:val="28"/>
          <w:szCs w:val="28"/>
        </w:rPr>
        <w:t>Ersparnisse des Staates:</w:t>
      </w:r>
    </w:p>
    <w:tbl>
      <w:tblPr>
        <w:tblW w:w="788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11"/>
        <w:gridCol w:w="3523"/>
        <w:gridCol w:w="2748"/>
      </w:tblGrid>
      <w:tr>
        <w:trPr>
          <w:tblHeader w:val="true"/>
        </w:trPr>
        <w:tc>
          <w:tcPr>
            <w:tcW w:w="1611" w:type="dxa"/>
            <w:tcBorders/>
            <w:vAlign w:val="center"/>
          </w:tcPr>
          <w:p>
            <w:pPr>
              <w:pStyle w:val="Tabellenberschrift"/>
              <w:widowControl w:val="false"/>
              <w:suppressLineNumbers/>
              <w:spacing w:before="0" w:after="200"/>
              <w:jc w:val="center"/>
              <w:rPr/>
            </w:pPr>
            <w:r>
              <w:rPr/>
              <w:t>A (€ pro Erw.)</w:t>
            </w:r>
          </w:p>
        </w:tc>
        <w:tc>
          <w:tcPr>
            <w:tcW w:w="3523" w:type="dxa"/>
            <w:tcBorders/>
            <w:vAlign w:val="center"/>
          </w:tcPr>
          <w:p>
            <w:pPr>
              <w:pStyle w:val="Tabellenberschrift"/>
              <w:widowControl w:val="false"/>
              <w:suppressLineNumbers/>
              <w:spacing w:before="0" w:after="200"/>
              <w:jc w:val="center"/>
              <w:rPr/>
            </w:pPr>
            <w:r>
              <w:rPr/>
              <w:t>Gesamtauszahlung (Mrd. €/Jahr)</w:t>
            </w:r>
          </w:p>
        </w:tc>
        <w:tc>
          <w:tcPr>
            <w:tcW w:w="2748" w:type="dxa"/>
            <w:tcBorders/>
            <w:vAlign w:val="center"/>
          </w:tcPr>
          <w:p>
            <w:pPr>
              <w:pStyle w:val="Tabellenberschrift"/>
              <w:widowControl w:val="false"/>
              <w:suppressLineNumbers/>
              <w:spacing w:before="0" w:after="200"/>
              <w:jc w:val="center"/>
              <w:rPr/>
            </w:pPr>
            <w:r>
              <w:rPr/>
              <w:t>Staat spart (Mrd. €/Jahr)</w:t>
            </w:r>
          </w:p>
        </w:tc>
      </w:tr>
      <w:tr>
        <w:trPr/>
        <w:tc>
          <w:tcPr>
            <w:tcW w:w="1611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>
                <w:rStyle w:val="Strong"/>
              </w:rPr>
              <w:t>300</w:t>
            </w:r>
          </w:p>
        </w:tc>
        <w:tc>
          <w:tcPr>
            <w:tcW w:w="3523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29,32</w:t>
            </w:r>
          </w:p>
        </w:tc>
        <w:tc>
          <w:tcPr>
            <w:tcW w:w="2748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4,13 – 7,44</w:t>
            </w:r>
          </w:p>
        </w:tc>
      </w:tr>
      <w:tr>
        <w:trPr/>
        <w:tc>
          <w:tcPr>
            <w:tcW w:w="1611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>
                <w:rStyle w:val="Strong"/>
              </w:rPr>
              <w:t>500</w:t>
            </w:r>
          </w:p>
        </w:tc>
        <w:tc>
          <w:tcPr>
            <w:tcW w:w="3523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48,87</w:t>
            </w:r>
          </w:p>
        </w:tc>
        <w:tc>
          <w:tcPr>
            <w:tcW w:w="2748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10,30 – 14,23</w:t>
            </w:r>
          </w:p>
        </w:tc>
      </w:tr>
      <w:tr>
        <w:trPr/>
        <w:tc>
          <w:tcPr>
            <w:tcW w:w="1611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>
                <w:rStyle w:val="Strong"/>
              </w:rPr>
              <w:t>1.200</w:t>
            </w:r>
          </w:p>
        </w:tc>
        <w:tc>
          <w:tcPr>
            <w:tcW w:w="3523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117,29</w:t>
            </w:r>
          </w:p>
        </w:tc>
        <w:tc>
          <w:tcPr>
            <w:tcW w:w="2748" w:type="dxa"/>
            <w:tcBorders/>
            <w:vAlign w:val="center"/>
          </w:tcPr>
          <w:p>
            <w:pPr>
              <w:pStyle w:val="Tabelleninhalt"/>
              <w:widowControl w:val="false"/>
              <w:suppressLineNumbers/>
              <w:spacing w:before="0" w:after="200"/>
              <w:rPr/>
            </w:pPr>
            <w:r>
              <w:rPr/>
              <w:t>25,00</w:t>
            </w:r>
          </w:p>
        </w:tc>
      </w:tr>
    </w:tbl>
    <w:p>
      <w:pPr>
        <w:pStyle w:val="Textkrper"/>
        <w:spacing w:before="180" w:after="180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Consola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Berschrift1">
    <w:name w:val="Heading 1"/>
    <w:basedOn w:val="Normal"/>
    <w:next w:val="Textkrper"/>
    <w:link w:val="Heading1Char"/>
    <w:uiPriority w:val="9"/>
    <w:qFormat/>
    <w:rsid w:val="00a10fd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Berschrift2">
    <w:name w:val="Heading 2"/>
    <w:basedOn w:val="Normal"/>
    <w:next w:val="Textkrper"/>
    <w:link w:val="Heading2Char"/>
    <w:uiPriority w:val="9"/>
    <w:semiHidden/>
    <w:unhideWhenUsed/>
    <w:qFormat/>
    <w:rsid w:val="00a10fd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Berschrift3">
    <w:name w:val="Heading 3"/>
    <w:basedOn w:val="Normal"/>
    <w:next w:val="Textkrper"/>
    <w:link w:val="Heading3Char"/>
    <w:uiPriority w:val="9"/>
    <w:semiHidden/>
    <w:unhideWhenUsed/>
    <w:qFormat/>
    <w:rsid w:val="00a10fd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Berschrift4">
    <w:name w:val="Heading 4"/>
    <w:basedOn w:val="Normal"/>
    <w:next w:val="Textkrper"/>
    <w:link w:val="Heading4Char"/>
    <w:uiPriority w:val="9"/>
    <w:semiHidden/>
    <w:unhideWhenUsed/>
    <w:qFormat/>
    <w:rsid w:val="00a10fd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Berschrift5">
    <w:name w:val="Heading 5"/>
    <w:basedOn w:val="Normal"/>
    <w:next w:val="Textkrper"/>
    <w:link w:val="Heading5Char"/>
    <w:uiPriority w:val="9"/>
    <w:semiHidden/>
    <w:unhideWhenUsed/>
    <w:qFormat/>
    <w:rsid w:val="00a10fd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Berschrift6">
    <w:name w:val="Heading 6"/>
    <w:basedOn w:val="Normal"/>
    <w:next w:val="Textkrper"/>
    <w:link w:val="Heading6Char"/>
    <w:uiPriority w:val="9"/>
    <w:semiHidden/>
    <w:unhideWhenUsed/>
    <w:qFormat/>
    <w:rsid w:val="00a10fd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Berschrift7">
    <w:name w:val="Heading 7"/>
    <w:basedOn w:val="Normal"/>
    <w:next w:val="Textkrper"/>
    <w:link w:val="Heading7Char"/>
    <w:uiPriority w:val="9"/>
    <w:semiHidden/>
    <w:unhideWhenUsed/>
    <w:qFormat/>
    <w:rsid w:val="00a10fd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Berschrift8">
    <w:name w:val="Heading 8"/>
    <w:basedOn w:val="Normal"/>
    <w:next w:val="Textkrper"/>
    <w:link w:val="Heading8Char"/>
    <w:uiPriority w:val="9"/>
    <w:semiHidden/>
    <w:unhideWhenUsed/>
    <w:qFormat/>
    <w:rsid w:val="00a10fd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Berschrift9">
    <w:name w:val="Heading 9"/>
    <w:basedOn w:val="Normal"/>
    <w:next w:val="Textkrper"/>
    <w:link w:val="Heading9Char"/>
    <w:uiPriority w:val="9"/>
    <w:semiHidden/>
    <w:unhideWhenUsed/>
    <w:qFormat/>
    <w:rsid w:val="00a10fd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uiPriority w:val="10"/>
    <w:qFormat/>
    <w:rsid w:val="00a10fd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uiPriority w:val="11"/>
    <w:qFormat/>
    <w:rsid w:val="00a10fd9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Heading1Char" w:customStyle="1">
    <w:name w:val="Heading 1 Char"/>
    <w:basedOn w:val="DefaultParagraphFont"/>
    <w:uiPriority w:val="9"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uiPriority w:val="9"/>
    <w:semiHidden/>
    <w:qFormat/>
    <w:rsid w:val="00a10fd9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uiPriority w:val="9"/>
    <w:semiHidden/>
    <w:qFormat/>
    <w:rsid w:val="00a10fd9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uiPriority w:val="9"/>
    <w:semiHidden/>
    <w:qFormat/>
    <w:rsid w:val="00a10fd9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uiPriority w:val="9"/>
    <w:semiHidden/>
    <w:qFormat/>
    <w:rsid w:val="00a10fd9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uiPriority w:val="9"/>
    <w:semiHidden/>
    <w:qFormat/>
    <w:rsid w:val="00a10fd9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uiPriority w:val="9"/>
    <w:semiHidden/>
    <w:qFormat/>
    <w:rsid w:val="00a10fd9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uiPriority w:val="9"/>
    <w:semiHidden/>
    <w:qFormat/>
    <w:rsid w:val="00a10fd9"/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unotenzeichen">
    <w:name w:val="Fußnotenzeichen"/>
    <w:basedOn w:val="BodyTextChar"/>
    <w:qFormat/>
    <w:rPr>
      <w:vertAlign w:val="superscript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Internetverknpfung">
    <w:name w:val="Internetverknüpfung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>
      <w:b/>
      <w:color w:val="008000"/>
    </w:rPr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>
      <w:color w:val="008000"/>
    </w:rPr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character" w:styleId="Strong">
    <w:name w:val="Strong"/>
    <w:qFormat/>
    <w:rPr>
      <w:b/>
      <w:bCs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Betont">
    <w:name w:val="Betont"/>
    <w:qFormat/>
    <w:rPr>
      <w:i/>
      <w:iCs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link w:val="BodyTextChar"/>
    <w:qFormat/>
    <w:pPr>
      <w:spacing w:before="180" w:after="18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FirstParagraph" w:customStyle="1">
    <w:name w:val="First Paragraph"/>
    <w:basedOn w:val="Textkrper"/>
    <w:next w:val="Textkrper"/>
    <w:qFormat/>
    <w:pPr/>
    <w:rPr/>
  </w:style>
  <w:style w:type="paragraph" w:styleId="Compact" w:customStyle="1">
    <w:name w:val="Compact"/>
    <w:basedOn w:val="Textkrper"/>
    <w:qFormat/>
    <w:pPr>
      <w:spacing w:before="36" w:after="36"/>
    </w:pPr>
    <w:rPr/>
  </w:style>
  <w:style w:type="paragraph" w:styleId="Titel">
    <w:name w:val="Title"/>
    <w:basedOn w:val="Normal"/>
    <w:next w:val="Textkrper"/>
    <w:link w:val="TitleChar"/>
    <w:uiPriority w:val="10"/>
    <w:qFormat/>
    <w:rsid w:val="00a10fd9"/>
    <w:pPr>
      <w:spacing w:lineRule="auto" w:line="240" w:before="0" w:after="80"/>
      <w:contextualSpacing/>
      <w:jc w:val="center"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Untertitel">
    <w:name w:val="Subtitle"/>
    <w:basedOn w:val="Titel"/>
    <w:next w:val="Textkrper"/>
    <w:link w:val="SubtitleChar"/>
    <w:uiPriority w:val="11"/>
    <w:qFormat/>
    <w:rsid w:val="00a10fd9"/>
    <w:pPr/>
    <w:rPr>
      <w:rFonts w:eastAsia="" w:cs="" w:cstheme="majorBidi" w:eastAsiaTheme="majorEastAsia"/>
      <w:spacing w:val="15"/>
      <w:sz w:val="28"/>
      <w:szCs w:val="28"/>
    </w:rPr>
  </w:style>
  <w:style w:type="paragraph" w:styleId="Author" w:customStyle="1">
    <w:name w:val="Author"/>
    <w:next w:val="Textkrper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krper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Title" w:customStyle="1">
    <w:name w:val="Abstract Title"/>
    <w:basedOn w:val="Normal"/>
    <w:next w:val="Abstract"/>
    <w:qFormat/>
    <w:pPr>
      <w:keepNext w:val="true"/>
      <w:keepLines/>
      <w:spacing w:before="300" w:after="0"/>
      <w:jc w:val="center"/>
    </w:pPr>
    <w:rPr>
      <w:b/>
      <w:sz w:val="20"/>
      <w:szCs w:val="20"/>
    </w:rPr>
  </w:style>
  <w:style w:type="paragraph" w:styleId="Abstract" w:customStyle="1">
    <w:name w:val="Abstract"/>
    <w:basedOn w:val="Normal"/>
    <w:next w:val="Textkrper"/>
    <w:qFormat/>
    <w:pPr>
      <w:keepNext w:val="true"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 w:hanging="0"/>
    </w:pPr>
    <w:rPr/>
  </w:style>
  <w:style w:type="paragraph" w:styleId="Funote">
    <w:name w:val="Footnote Text"/>
    <w:basedOn w:val="Normal"/>
    <w:uiPriority w:val="9"/>
    <w:unhideWhenUsed/>
    <w:qFormat/>
    <w:pPr/>
    <w:rPr/>
  </w:style>
  <w:style w:type="paragraph" w:styleId="FootnoteBlockText">
    <w:name w:val="Footnote Block Text"/>
    <w:basedOn w:val="Funote"/>
    <w:next w:val="Funote"/>
    <w:uiPriority w:val="9"/>
    <w:unhideWhenUsed/>
    <w:qFormat/>
    <w:pPr>
      <w:spacing w:before="100" w:after="100"/>
      <w:ind w:left="480" w:right="480" w:hanging="0"/>
    </w:pPr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Schaubild" w:customStyle="1">
    <w:name w:val="Schaubild"/>
    <w:basedOn w:val="Normal"/>
    <w:qFormat/>
    <w:pPr/>
    <w:rPr/>
  </w:style>
  <w:style w:type="paragraph" w:styleId="CaptionedFigure" w:customStyle="1">
    <w:name w:val="Captioned Figure"/>
    <w:basedOn w:val="Schaubild"/>
    <w:qFormat/>
    <w:pPr>
      <w:keepNext w:val="true"/>
    </w:pPr>
    <w:rPr/>
  </w:style>
  <w:style w:type="paragraph" w:styleId="Indexheading">
    <w:name w:val="index heading"/>
    <w:basedOn w:val="Berschrift"/>
    <w:qFormat/>
    <w:pPr/>
    <w:rPr/>
  </w:style>
  <w:style w:type="paragraph" w:styleId="Stichwortverzeichnisberschrift">
    <w:name w:val="Index Heading"/>
    <w:basedOn w:val="Berschrift"/>
    <w:pPr/>
    <w:rPr/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lineRule="auto" w:line="259" w:before="240" w:after="80"/>
      <w:outlineLvl w:val="9"/>
    </w:pPr>
    <w:rPr>
      <w:rFonts w:ascii="Aptos Display" w:hAnsi="Aptos Display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HorizontaleLinie">
    <w:name w:val="Horizontale Linie"/>
    <w:basedOn w:val="Normal"/>
    <w:next w:val="Textkrper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LibreOffice/7.2.4.1$Windows_X86_64 LibreOffice_project/27d75539669ac387bb498e35313b970b7fe9c4f9</Application>
  <AppVersion>15.0000</AppVersion>
  <Pages>4</Pages>
  <Words>564</Words>
  <Characters>3674</Characters>
  <CharactersWithSpaces>4152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2025-06-18T08:10:13Z</dcterms:created>
  <dc:creator/>
  <dc:description/>
  <dc:language>de-AT</dc:language>
  <cp:lastModifiedBy/>
  <dcterms:modified xsi:type="dcterms:W3CDTF">2025-09-20T01:16:29Z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